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1E" w:rsidRPr="00D01481" w:rsidRDefault="00E34A1E" w:rsidP="00E34A1E">
      <w:pPr>
        <w:pStyle w:val="11116"/>
        <w:numPr>
          <w:ilvl w:val="1"/>
          <w:numId w:val="2"/>
        </w:numPr>
        <w:tabs>
          <w:tab w:val="num" w:pos="718"/>
          <w:tab w:val="left" w:pos="9639"/>
        </w:tabs>
        <w:rPr>
          <w:color w:val="262626"/>
        </w:rPr>
      </w:pPr>
      <w:bookmarkStart w:id="0" w:name="_Toc20996552"/>
      <w:bookmarkStart w:id="1" w:name="_Toc30597983"/>
      <w:bookmarkStart w:id="2" w:name="_Toc37411100"/>
      <w:bookmarkStart w:id="3" w:name="_GoBack"/>
      <w:bookmarkEnd w:id="3"/>
      <w:r w:rsidRPr="00D01481">
        <w:rPr>
          <w:color w:val="262626"/>
        </w:rPr>
        <w:t>МАКРОЭКОНОМИЧЕСКИЙ ОБЗОР – НОЯБРЬ 2019 ГОДА</w:t>
      </w:r>
      <w:bookmarkEnd w:id="0"/>
      <w:bookmarkEnd w:id="1"/>
      <w:bookmarkEnd w:id="2"/>
    </w:p>
    <w:p w:rsidR="00E34A1E" w:rsidRPr="00D01481" w:rsidRDefault="00E34A1E" w:rsidP="00E34A1E">
      <w:pPr>
        <w:widowControl/>
        <w:tabs>
          <w:tab w:val="left" w:pos="9639"/>
        </w:tabs>
        <w:adjustRightInd/>
        <w:spacing w:after="120" w:line="240" w:lineRule="auto"/>
        <w:ind w:firstLine="0"/>
        <w:jc w:val="center"/>
        <w:textAlignment w:val="auto"/>
        <w:rPr>
          <w:color w:val="262626"/>
          <w:sz w:val="20"/>
          <w:szCs w:val="18"/>
          <w:lang w:eastAsia="x-none"/>
        </w:rPr>
      </w:pPr>
      <w:r w:rsidRPr="00D01481">
        <w:rPr>
          <w:i/>
          <w:color w:val="262626"/>
          <w:sz w:val="20"/>
          <w:szCs w:val="18"/>
          <w:lang w:eastAsia="x-none"/>
        </w:rPr>
        <w:t>Анализ влияния общей политической и социально-экономической обстановки в стране и регионе расположения объекта оценки на рынок оцениваемого объекта, в том числе тенденций, наметившихся на рынке, в период, предшествующий дате оценки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Росстат подтвердил предварительную оценку годового темпа прироста ВВП </w:t>
      </w:r>
      <w:proofErr w:type="gramStart"/>
      <w:r w:rsidRPr="00D01481">
        <w:rPr>
          <w:color w:val="262626"/>
          <w:sz w:val="20"/>
        </w:rPr>
        <w:t>в  III</w:t>
      </w:r>
      <w:proofErr w:type="gramEnd"/>
      <w:r w:rsidRPr="00D01481">
        <w:rPr>
          <w:color w:val="262626"/>
          <w:sz w:val="20"/>
        </w:rPr>
        <w:t xml:space="preserve">  квартале 2019 г. на уровне 1,7%. Ускорение роста выпуска произошло преимущественно за счет оптовой торговли, сельского хозяйства и обрабатывающих производств. В ноябре 2019 г. рост экономической активности замедлился. Произошло снижение годового темпа роста объема промышленного производства, обусловленное динамикой обрабатывающих производств.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Об ухудшении конъюнктуры в обработке свидетельствуют также данные опросов. Опережающие индикаторы инвестиционной активности в ноябре указывали на снижение вложений в основной капитал в годовом выражении. В то же время наблюдался рост производства продукции сельского хозяйства. На фоне улучшения динамики реальных заработных плат возросли розничные продажи. Темп прироста ВВП по итогам 2019 г. может сложиться ближе к верхней границе диапазона прогноза Банка России – 0,8–1,3%. В первую очередь это связано с более высокими, чем ожидалось, годовыми темпами прироста ВВП в III квартале и выпуска базовых видов экономической деятельности в начале IV квартала.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jc w:val="center"/>
        <w:rPr>
          <w:color w:val="262626"/>
          <w:sz w:val="20"/>
        </w:rPr>
      </w:pPr>
      <w:r w:rsidRPr="00D01481">
        <w:rPr>
          <w:noProof/>
          <w:color w:val="262626"/>
        </w:rPr>
        <w:drawing>
          <wp:inline distT="0" distB="0" distL="0" distR="0">
            <wp:extent cx="5760720" cy="2674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i/>
          <w:color w:val="262626"/>
          <w:sz w:val="20"/>
        </w:rPr>
      </w:pPr>
      <w:r w:rsidRPr="00D01481">
        <w:rPr>
          <w:i/>
          <w:color w:val="262626"/>
          <w:sz w:val="20"/>
        </w:rPr>
        <w:t>ВВП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Росстат подтвердил предварительную оценку годового темпа прироста ВВП, который </w:t>
      </w:r>
      <w:proofErr w:type="gramStart"/>
      <w:r w:rsidRPr="00D01481">
        <w:rPr>
          <w:color w:val="262626"/>
          <w:sz w:val="20"/>
        </w:rPr>
        <w:t>в  III</w:t>
      </w:r>
      <w:proofErr w:type="gramEnd"/>
      <w:r w:rsidRPr="00D01481">
        <w:rPr>
          <w:color w:val="262626"/>
          <w:sz w:val="20"/>
        </w:rPr>
        <w:t xml:space="preserve">  квартале 2019  г. составил 1,7% (в II квартале: 0,9%, рис. 1).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Ускорение роста выпуска было связано в первую очередь с динамикой валовой </w:t>
      </w:r>
      <w:proofErr w:type="spellStart"/>
      <w:r w:rsidRPr="00D01481">
        <w:rPr>
          <w:color w:val="262626"/>
          <w:sz w:val="20"/>
        </w:rPr>
        <w:t>добавленнной</w:t>
      </w:r>
      <w:proofErr w:type="spellEnd"/>
      <w:r w:rsidRPr="00D01481">
        <w:rPr>
          <w:color w:val="262626"/>
          <w:sz w:val="20"/>
        </w:rPr>
        <w:t xml:space="preserve"> стоимости (ВДС) в оптовой торговле, которая возросла </w:t>
      </w:r>
      <w:proofErr w:type="gramStart"/>
      <w:r w:rsidRPr="00D01481">
        <w:rPr>
          <w:color w:val="262626"/>
          <w:sz w:val="20"/>
        </w:rPr>
        <w:t>на  4</w:t>
      </w:r>
      <w:proofErr w:type="gramEnd"/>
      <w:r w:rsidRPr="00D01481">
        <w:rPr>
          <w:color w:val="262626"/>
          <w:sz w:val="20"/>
        </w:rPr>
        <w:t>,1% в  годовом сопоставлении после сокращения на  1,9% в II квартале 2019 года. Кроме того, на него повлияло повышение темпов роста выпуска в сельском хозяйстве как результ</w:t>
      </w:r>
      <w:r>
        <w:rPr>
          <w:color w:val="262626"/>
          <w:sz w:val="20"/>
        </w:rPr>
        <w:t xml:space="preserve">ат увеличения объемов урожая и </w:t>
      </w:r>
      <w:r w:rsidRPr="00D01481">
        <w:rPr>
          <w:color w:val="262626"/>
          <w:sz w:val="20"/>
        </w:rPr>
        <w:t>дальнейшего расширения выпуска продукции животноводства.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На динамике ВВП сказалось также ускорение роста ВДС в обрабатывающих производствах </w:t>
      </w:r>
      <w:proofErr w:type="gramStart"/>
      <w:r w:rsidRPr="00D01481">
        <w:rPr>
          <w:color w:val="262626"/>
          <w:sz w:val="20"/>
        </w:rPr>
        <w:t>в  III</w:t>
      </w:r>
      <w:proofErr w:type="gramEnd"/>
      <w:r w:rsidRPr="00D01481">
        <w:rPr>
          <w:color w:val="262626"/>
          <w:sz w:val="20"/>
        </w:rPr>
        <w:t xml:space="preserve">  квартале, произошедшее в  основном за  счет расширения производства потребительских товаров (продовольствия и  лекарственных средств) и продукции химического производства.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Вместе с тем отрицательный вклад в динамику выпуска внесло сокращение ВДС транспортировки </w:t>
      </w:r>
      <w:proofErr w:type="gramStart"/>
      <w:r w:rsidRPr="00D01481">
        <w:rPr>
          <w:color w:val="262626"/>
          <w:sz w:val="20"/>
        </w:rPr>
        <w:t>и  хранения</w:t>
      </w:r>
      <w:proofErr w:type="gramEnd"/>
      <w:r w:rsidRPr="00D01481">
        <w:rPr>
          <w:color w:val="262626"/>
          <w:sz w:val="20"/>
        </w:rPr>
        <w:t xml:space="preserve"> в  III  квартале 2019 года. В значительной мере оно было связано с падением железнодорожных перевозок ряда российских экспортн</w:t>
      </w:r>
      <w:r>
        <w:rPr>
          <w:color w:val="262626"/>
          <w:sz w:val="20"/>
        </w:rPr>
        <w:t>ых товаров (прежде всего угля и</w:t>
      </w:r>
      <w:r w:rsidRPr="00D01481">
        <w:rPr>
          <w:color w:val="262626"/>
          <w:sz w:val="20"/>
        </w:rPr>
        <w:t xml:space="preserve"> черных металлов). Кроме того, негативное влияние на динамику ВВП оказало замедление роста добычи полезных ископаемых, в том числе за счет эффекта высокой базы. В частности, на фоне слабого спроса в Европе из</w:t>
      </w:r>
      <w:r w:rsidRPr="00D01481">
        <w:rPr>
          <w:rFonts w:ascii="MS Mincho" w:eastAsia="MS Mincho" w:hAnsi="MS Mincho" w:cs="MS Mincho" w:hint="eastAsia"/>
          <w:color w:val="262626"/>
          <w:sz w:val="20"/>
        </w:rPr>
        <w:t>‑</w:t>
      </w:r>
      <w:proofErr w:type="gramStart"/>
      <w:r w:rsidRPr="00D01481">
        <w:rPr>
          <w:color w:val="262626"/>
          <w:sz w:val="20"/>
        </w:rPr>
        <w:t>за рекордно высокого уровня</w:t>
      </w:r>
      <w:proofErr w:type="gramEnd"/>
      <w:r w:rsidRPr="00D01481">
        <w:rPr>
          <w:color w:val="262626"/>
          <w:sz w:val="20"/>
        </w:rPr>
        <w:t xml:space="preserve"> </w:t>
      </w:r>
      <w:proofErr w:type="spellStart"/>
      <w:r w:rsidRPr="00D01481">
        <w:rPr>
          <w:color w:val="262626"/>
          <w:sz w:val="20"/>
        </w:rPr>
        <w:t>заполненности</w:t>
      </w:r>
      <w:proofErr w:type="spellEnd"/>
      <w:r w:rsidRPr="00D01481">
        <w:rPr>
          <w:color w:val="262626"/>
          <w:sz w:val="20"/>
        </w:rPr>
        <w:t xml:space="preserve"> газохранилищ в текущем году наблюдается замедление роста добычи газа.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jc w:val="center"/>
        <w:rPr>
          <w:color w:val="262626"/>
          <w:sz w:val="20"/>
        </w:rPr>
      </w:pPr>
      <w:r w:rsidRPr="00D01481">
        <w:rPr>
          <w:noProof/>
          <w:color w:val="262626"/>
        </w:rPr>
        <w:lastRenderedPageBreak/>
        <w:drawing>
          <wp:inline distT="0" distB="0" distL="0" distR="0">
            <wp:extent cx="3131820" cy="2941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i/>
          <w:color w:val="262626"/>
          <w:sz w:val="20"/>
        </w:rPr>
      </w:pPr>
      <w:r w:rsidRPr="00D01481">
        <w:rPr>
          <w:i/>
          <w:color w:val="262626"/>
          <w:sz w:val="20"/>
        </w:rPr>
        <w:t>Производственная активность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В ноябре 2019 г. произошло существенное замедление годового темпа прироста объема промышленного производства – с 2,6% в октябре </w:t>
      </w:r>
      <w:proofErr w:type="gramStart"/>
      <w:r w:rsidRPr="00D01481">
        <w:rPr>
          <w:color w:val="262626"/>
          <w:sz w:val="20"/>
        </w:rPr>
        <w:t>до  0</w:t>
      </w:r>
      <w:proofErr w:type="gramEnd"/>
      <w:r w:rsidRPr="00D01481">
        <w:rPr>
          <w:color w:val="262626"/>
          <w:sz w:val="20"/>
        </w:rPr>
        <w:t xml:space="preserve">,3% (0,9% с  исключением календарного эффекта, табл. 1, рис. 2), в том числе за счет эффекта высокой базы прошлого года. По отношению к предыдущему месяцу с исключением сезонности (далее – SA) наблюдалось небольшое снижение выпуска, обусловленное динамикой обрабатывающих производств. При этом на фоне общего снижения позитивной была динамика выпуска товаров, ориентированных </w:t>
      </w:r>
      <w:proofErr w:type="gramStart"/>
      <w:r w:rsidRPr="00D01481">
        <w:rPr>
          <w:color w:val="262626"/>
          <w:sz w:val="20"/>
        </w:rPr>
        <w:t>на  удовлетворение</w:t>
      </w:r>
      <w:proofErr w:type="gramEnd"/>
      <w:r w:rsidRPr="00D01481">
        <w:rPr>
          <w:color w:val="262626"/>
          <w:sz w:val="20"/>
        </w:rPr>
        <w:t xml:space="preserve"> спроса домохозяйств, а также со стороны строительной отрасли.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i/>
          <w:color w:val="262626"/>
          <w:sz w:val="20"/>
        </w:rPr>
        <w:t>Производство сырья</w:t>
      </w:r>
      <w:r w:rsidRPr="00D01481">
        <w:rPr>
          <w:color w:val="262626"/>
          <w:sz w:val="20"/>
        </w:rPr>
        <w:t xml:space="preserve">. В ноябре 2019 г. наблюдалось ускорение годовых темпов роста добычи полезных ископаемых после сокращения в сентябре-октябре (рис. 3). При этом возобновился рост (SA), обусловленный повышением добычи естественного природного газа. </w:t>
      </w:r>
      <w:proofErr w:type="gramStart"/>
      <w:r w:rsidRPr="00D01481">
        <w:rPr>
          <w:color w:val="262626"/>
          <w:sz w:val="20"/>
        </w:rPr>
        <w:t>В  дальнейшем</w:t>
      </w:r>
      <w:proofErr w:type="gramEnd"/>
      <w:r w:rsidRPr="00D01481">
        <w:rPr>
          <w:color w:val="262626"/>
          <w:sz w:val="20"/>
        </w:rPr>
        <w:t xml:space="preserve"> поддержку добыче газа окажет начало поставок газа в Китай по газопроводу «Сила Сибири».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noProof/>
          <w:color w:val="262626"/>
        </w:rPr>
        <w:drawing>
          <wp:inline distT="0" distB="0" distL="0" distR="0">
            <wp:extent cx="2735580" cy="26365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1">
        <w:rPr>
          <w:noProof/>
          <w:color w:val="262626"/>
        </w:rPr>
        <w:t xml:space="preserve"> </w:t>
      </w:r>
      <w:r w:rsidRPr="00D01481">
        <w:rPr>
          <w:noProof/>
          <w:color w:val="262626"/>
        </w:rPr>
        <w:drawing>
          <wp:inline distT="0" distB="0" distL="0" distR="0">
            <wp:extent cx="2697480" cy="26289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Среди полезных ископаемых, кроме топливно-энергетических, поддержку выпуску оказал рост производства цветных металлов </w:t>
      </w:r>
      <w:proofErr w:type="gramStart"/>
      <w:r w:rsidRPr="00D01481">
        <w:rPr>
          <w:color w:val="262626"/>
          <w:sz w:val="20"/>
        </w:rPr>
        <w:t>и  некоторых</w:t>
      </w:r>
      <w:proofErr w:type="gramEnd"/>
      <w:r w:rsidRPr="00D01481">
        <w:rPr>
          <w:color w:val="262626"/>
          <w:sz w:val="20"/>
        </w:rPr>
        <w:t xml:space="preserve"> других полезных ископаемых (алмазов, пищевой соли), а также отдельных видов сырья для производства стройматериалов, который происходил на фоне растущего спроса.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Ослабление внешнего спроса и снижение цен на многие сырьевые товары на мировом рынке по сравнению с уровнем 2018 г. (нефть </w:t>
      </w:r>
      <w:proofErr w:type="gramStart"/>
      <w:r w:rsidRPr="00D01481">
        <w:rPr>
          <w:color w:val="262626"/>
          <w:sz w:val="20"/>
        </w:rPr>
        <w:t>и  другие</w:t>
      </w:r>
      <w:proofErr w:type="gramEnd"/>
      <w:r w:rsidRPr="00D01481">
        <w:rPr>
          <w:color w:val="262626"/>
          <w:sz w:val="20"/>
        </w:rPr>
        <w:t xml:space="preserve"> энергоносители, уголь) привели к  снижению во  второй половине текущего года цен производителей в  добыче полезных ископаемых на внутреннем рынке. В ноябре на фоне оживления спроса оно несколько затормозилось. Тем не менее уровень цен остался ниже, чем годом ранее, на 16,2%.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i/>
          <w:color w:val="262626"/>
          <w:sz w:val="20"/>
        </w:rPr>
        <w:t>Производство промежуточных т</w:t>
      </w:r>
      <w:r>
        <w:rPr>
          <w:color w:val="262626"/>
          <w:sz w:val="20"/>
        </w:rPr>
        <w:t>оваров. В</w:t>
      </w:r>
      <w:r w:rsidRPr="00D01481">
        <w:rPr>
          <w:color w:val="262626"/>
          <w:sz w:val="20"/>
        </w:rPr>
        <w:t xml:space="preserve"> ноябре </w:t>
      </w:r>
      <w:proofErr w:type="gramStart"/>
      <w:r w:rsidRPr="00D01481">
        <w:rPr>
          <w:color w:val="262626"/>
          <w:sz w:val="20"/>
        </w:rPr>
        <w:t>2019  г.</w:t>
      </w:r>
      <w:proofErr w:type="gramEnd"/>
      <w:r w:rsidRPr="00D01481">
        <w:rPr>
          <w:color w:val="262626"/>
          <w:sz w:val="20"/>
        </w:rPr>
        <w:t xml:space="preserve"> производство промежуточных товаров сократилось в сравнении с  предыдущим месяцем (SA, рис.  4). Продолжилось снижение выпуска в </w:t>
      </w:r>
      <w:r w:rsidRPr="00D01481">
        <w:rPr>
          <w:color w:val="262626"/>
          <w:sz w:val="20"/>
        </w:rPr>
        <w:lastRenderedPageBreak/>
        <w:t>металлургии в условиях слабого внешнег</w:t>
      </w:r>
      <w:r>
        <w:rPr>
          <w:color w:val="262626"/>
          <w:sz w:val="20"/>
        </w:rPr>
        <w:t>о спроса, что нашло отражение в</w:t>
      </w:r>
      <w:r w:rsidRPr="00D01481">
        <w:rPr>
          <w:color w:val="262626"/>
          <w:sz w:val="20"/>
        </w:rPr>
        <w:t xml:space="preserve"> слабой динамике экспорта черных металлов. </w:t>
      </w:r>
      <w:r>
        <w:rPr>
          <w:color w:val="262626"/>
          <w:sz w:val="20"/>
        </w:rPr>
        <w:t>Замедление роста добычи нефти в</w:t>
      </w:r>
      <w:r w:rsidRPr="00D01481">
        <w:rPr>
          <w:color w:val="262626"/>
          <w:sz w:val="20"/>
        </w:rPr>
        <w:t xml:space="preserve"> предыдущие месяцы отразилось </w:t>
      </w:r>
      <w:proofErr w:type="gramStart"/>
      <w:r w:rsidRPr="00D01481">
        <w:rPr>
          <w:color w:val="262626"/>
          <w:sz w:val="20"/>
        </w:rPr>
        <w:t>на  сокращении</w:t>
      </w:r>
      <w:proofErr w:type="gramEnd"/>
      <w:r w:rsidRPr="00D01481">
        <w:rPr>
          <w:color w:val="262626"/>
          <w:sz w:val="20"/>
        </w:rPr>
        <w:t xml:space="preserve"> объемов нефтепереработки.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Это, в свою очередь, сказалось на снижении выпуска химических производств. В то же время среди металлургических производств увеличивался выпуск продукции, преимущественно строительного назначения. Также сохранился</w:t>
      </w:r>
      <w:r>
        <w:rPr>
          <w:color w:val="262626"/>
          <w:sz w:val="20"/>
        </w:rPr>
        <w:t xml:space="preserve"> тренд на слабый рост выпуска в</w:t>
      </w:r>
      <w:r w:rsidRPr="00D01481">
        <w:rPr>
          <w:color w:val="262626"/>
          <w:sz w:val="20"/>
        </w:rPr>
        <w:t xml:space="preserve"> деревообработке </w:t>
      </w:r>
      <w:proofErr w:type="gramStart"/>
      <w:r w:rsidRPr="00D01481">
        <w:rPr>
          <w:color w:val="262626"/>
          <w:sz w:val="20"/>
        </w:rPr>
        <w:t>и  производстве</w:t>
      </w:r>
      <w:proofErr w:type="gramEnd"/>
      <w:r w:rsidRPr="00D01481">
        <w:rPr>
          <w:color w:val="262626"/>
          <w:sz w:val="20"/>
        </w:rPr>
        <w:t xml:space="preserve"> целлюлозы.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>
        <w:rPr>
          <w:color w:val="262626"/>
          <w:sz w:val="20"/>
        </w:rPr>
        <w:t xml:space="preserve">Ограничения со </w:t>
      </w:r>
      <w:r w:rsidRPr="00D01481">
        <w:rPr>
          <w:color w:val="262626"/>
          <w:sz w:val="20"/>
        </w:rPr>
        <w:t xml:space="preserve">стороны внутреннего </w:t>
      </w:r>
      <w:proofErr w:type="gramStart"/>
      <w:r w:rsidRPr="00D01481">
        <w:rPr>
          <w:color w:val="262626"/>
          <w:sz w:val="20"/>
        </w:rPr>
        <w:t>и  внешнего</w:t>
      </w:r>
      <w:proofErr w:type="gramEnd"/>
      <w:r w:rsidRPr="00D01481">
        <w:rPr>
          <w:color w:val="262626"/>
          <w:sz w:val="20"/>
        </w:rPr>
        <w:t xml:space="preserve"> спроса отражались на  динамике цен производителей промежуточных товаров. В ноябре, как и в предыдущие три месяца, они были ниже, чем годом ранее (по оценке, на 12,6%).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noProof/>
          <w:color w:val="262626"/>
        </w:rPr>
        <w:drawing>
          <wp:inline distT="0" distB="0" distL="0" distR="0">
            <wp:extent cx="2773680" cy="26136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1">
        <w:rPr>
          <w:noProof/>
          <w:color w:val="262626"/>
        </w:rPr>
        <w:t xml:space="preserve"> </w:t>
      </w:r>
      <w:r w:rsidRPr="00D01481">
        <w:rPr>
          <w:noProof/>
          <w:color w:val="262626"/>
        </w:rPr>
        <w:drawing>
          <wp:inline distT="0" distB="0" distL="0" distR="0">
            <wp:extent cx="2735580" cy="26212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i/>
          <w:color w:val="262626"/>
          <w:sz w:val="20"/>
        </w:rPr>
        <w:t>Производство инвестиционных товаров</w:t>
      </w:r>
      <w:r w:rsidRPr="00D01481">
        <w:rPr>
          <w:color w:val="262626"/>
          <w:sz w:val="20"/>
        </w:rPr>
        <w:t xml:space="preserve">. В ноябре 2019 г. наблюдалось сокращение выпуска инвестиционных товаров (SA, рис. 5), в первую очередь за счет снижения производства машиностроительной продукции. Наиболее заметно уменьшались объемы выпуска транспортных средств – сокращение происходило в производстве автотранспорта и прочих транспортных средств; тренд роста выпуска железнодорожного транспорта </w:t>
      </w:r>
      <w:proofErr w:type="gramStart"/>
      <w:r w:rsidRPr="00D01481">
        <w:rPr>
          <w:color w:val="262626"/>
          <w:sz w:val="20"/>
        </w:rPr>
        <w:t>прекратился</w:t>
      </w:r>
      <w:proofErr w:type="gramEnd"/>
      <w:r w:rsidRPr="00D01481">
        <w:rPr>
          <w:color w:val="262626"/>
          <w:sz w:val="20"/>
        </w:rPr>
        <w:t xml:space="preserve"> начиная с сентября. Кроме того, в ноябре было завершено выполнение крупных заказов на производство радиопередающей аппаратуры.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>
        <w:rPr>
          <w:color w:val="262626"/>
          <w:sz w:val="20"/>
        </w:rPr>
        <w:t xml:space="preserve">При этом в </w:t>
      </w:r>
      <w:r w:rsidRPr="00D01481">
        <w:rPr>
          <w:color w:val="262626"/>
          <w:sz w:val="20"/>
        </w:rPr>
        <w:t>производстве стройматериалов, в том числе готовых металлических изделий строительного назначения, наблюдалась в целом нейтральная динамика. Выпуск проду</w:t>
      </w:r>
      <w:r>
        <w:rPr>
          <w:color w:val="262626"/>
          <w:sz w:val="20"/>
        </w:rPr>
        <w:t>кции, связанной со</w:t>
      </w:r>
      <w:r w:rsidRPr="00D01481">
        <w:rPr>
          <w:color w:val="262626"/>
          <w:sz w:val="20"/>
        </w:rPr>
        <w:t xml:space="preserve"> строительством, поддерживался ожиданиями увеличения спроса, зафиксированными опросом предприятий Банка России.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В условиях в целом слабого спроса на инвестиционные товары годовой темп прироста цен производителей в этом секторе промышленности с июня не превышал 3%. В ноябре он составил, по оценке, 3,1%.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i/>
          <w:color w:val="262626"/>
          <w:sz w:val="20"/>
        </w:rPr>
        <w:t xml:space="preserve">Производство потребительских </w:t>
      </w:r>
      <w:r>
        <w:rPr>
          <w:color w:val="262626"/>
          <w:sz w:val="20"/>
        </w:rPr>
        <w:t xml:space="preserve">товаров. В </w:t>
      </w:r>
      <w:r w:rsidRPr="00D01481">
        <w:rPr>
          <w:color w:val="262626"/>
          <w:sz w:val="20"/>
        </w:rPr>
        <w:t>ноябре выпуск потребительских товаров увеличился, сохранив тенденцию роста, наблюдаемую с III квартала 2019 г. (SA, рис. 6).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Поддержку выпуску оказало производство продовольственных товаров, рост которого был непрерывным с июня. В ноябре возрос выпуск продуктов животного происхождения, в том числе в молочной отрасли, где рост розничных цен способствовал восстановлению рентабельности.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>
        <w:rPr>
          <w:color w:val="262626"/>
          <w:sz w:val="20"/>
        </w:rPr>
        <w:t xml:space="preserve">В </w:t>
      </w:r>
      <w:r w:rsidRPr="00D01481">
        <w:rPr>
          <w:color w:val="262626"/>
          <w:sz w:val="20"/>
        </w:rPr>
        <w:t xml:space="preserve">ноябре </w:t>
      </w:r>
      <w:proofErr w:type="gramStart"/>
      <w:r w:rsidRPr="00D01481">
        <w:rPr>
          <w:color w:val="262626"/>
          <w:sz w:val="20"/>
        </w:rPr>
        <w:t>в  выпуске</w:t>
      </w:r>
      <w:proofErr w:type="gramEnd"/>
      <w:r w:rsidRPr="00D01481">
        <w:rPr>
          <w:color w:val="262626"/>
          <w:sz w:val="20"/>
        </w:rPr>
        <w:t xml:space="preserve"> непродовольственных товаров наблюдались разно</w:t>
      </w:r>
      <w:r>
        <w:rPr>
          <w:color w:val="262626"/>
          <w:sz w:val="20"/>
        </w:rPr>
        <w:t xml:space="preserve">направленные тенденции (SA). С </w:t>
      </w:r>
      <w:r w:rsidRPr="00D01481">
        <w:rPr>
          <w:color w:val="262626"/>
          <w:sz w:val="20"/>
        </w:rPr>
        <w:t>одной стороны, продолжилось сокращение выпуска товаров длительного пользования: наиболее существенно – легковых автомобилей в условиях осторожного отношения потребителей к покупкам товаров длительного пользования.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С другой стороны, указанное снижение было компенсировано ростом выпуска других видов непродовольственных товаров – одежды, обуви и изделий из</w:t>
      </w:r>
      <w:r>
        <w:rPr>
          <w:color w:val="262626"/>
          <w:sz w:val="20"/>
        </w:rPr>
        <w:t xml:space="preserve"> кожи, лекарственных средств в </w:t>
      </w:r>
      <w:r w:rsidRPr="00D01481">
        <w:rPr>
          <w:color w:val="262626"/>
          <w:sz w:val="20"/>
        </w:rPr>
        <w:t xml:space="preserve">условиях продолжения развития процессов </w:t>
      </w:r>
      <w:proofErr w:type="spellStart"/>
      <w:r w:rsidRPr="00D01481">
        <w:rPr>
          <w:color w:val="262626"/>
          <w:sz w:val="20"/>
        </w:rPr>
        <w:t>импортозамещения</w:t>
      </w:r>
      <w:proofErr w:type="spellEnd"/>
      <w:r w:rsidRPr="00D01481">
        <w:rPr>
          <w:color w:val="262626"/>
          <w:sz w:val="20"/>
        </w:rPr>
        <w:t xml:space="preserve"> в российской промышленности и наращивания экспорта.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noProof/>
          <w:color w:val="262626"/>
        </w:rPr>
        <w:lastRenderedPageBreak/>
        <w:drawing>
          <wp:inline distT="0" distB="0" distL="0" distR="0">
            <wp:extent cx="2735580" cy="2606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81">
        <w:rPr>
          <w:noProof/>
          <w:color w:val="262626"/>
        </w:rPr>
        <w:t xml:space="preserve"> </w:t>
      </w:r>
      <w:r w:rsidRPr="00D01481">
        <w:rPr>
          <w:noProof/>
          <w:color w:val="262626"/>
        </w:rPr>
        <w:drawing>
          <wp:inline distT="0" distB="0" distL="0" distR="0">
            <wp:extent cx="2773680" cy="26136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Динамика цен производителей потребительских товаров, как </w:t>
      </w:r>
      <w:proofErr w:type="gramStart"/>
      <w:r w:rsidRPr="00D01481">
        <w:rPr>
          <w:color w:val="262626"/>
          <w:sz w:val="20"/>
        </w:rPr>
        <w:t>и  динамика</w:t>
      </w:r>
      <w:proofErr w:type="gramEnd"/>
      <w:r w:rsidRPr="00D01481">
        <w:rPr>
          <w:color w:val="262626"/>
          <w:sz w:val="20"/>
        </w:rPr>
        <w:t xml:space="preserve"> потребительских цен, складывалась под влиянием укрепления рубля, расширения предложения продовольствия, </w:t>
      </w:r>
      <w:proofErr w:type="spellStart"/>
      <w:r w:rsidRPr="00D01481">
        <w:rPr>
          <w:color w:val="262626"/>
          <w:sz w:val="20"/>
        </w:rPr>
        <w:t>спросовых</w:t>
      </w:r>
      <w:proofErr w:type="spellEnd"/>
      <w:r w:rsidRPr="00D01481">
        <w:rPr>
          <w:color w:val="262626"/>
          <w:sz w:val="20"/>
        </w:rPr>
        <w:t xml:space="preserve"> ограничений.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proofErr w:type="gramStart"/>
      <w:r w:rsidRPr="00D01481">
        <w:rPr>
          <w:color w:val="262626"/>
          <w:sz w:val="20"/>
        </w:rPr>
        <w:t>В  ноябре</w:t>
      </w:r>
      <w:proofErr w:type="gramEnd"/>
      <w:r w:rsidRPr="00D01481">
        <w:rPr>
          <w:color w:val="262626"/>
          <w:sz w:val="20"/>
        </w:rPr>
        <w:t xml:space="preserve"> продолжилось снижение их  годового прироста, который, по  оценке, составил 0,1%.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i/>
          <w:color w:val="262626"/>
          <w:sz w:val="20"/>
        </w:rPr>
        <w:t>Транспорт</w:t>
      </w:r>
      <w:r w:rsidRPr="00D01481">
        <w:rPr>
          <w:color w:val="262626"/>
          <w:sz w:val="20"/>
        </w:rPr>
        <w:t>. Грузооборот транспорта в ноябре 2019 г. снизился на 1,5% в годовом выражении после стабилизации в предыдущие два месяца при разнонаправленной динамике по видам транспорта (рис. 8). Так, грузооборот железнодорожного транспорта показал снижение второй месяц подряд: основной вклад внесло сокращение экспортных поставок угля, черных металлов и зерна.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Одновременно вырос грузооборот автомобильного и воздушного транспорта.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i/>
          <w:color w:val="262626"/>
          <w:sz w:val="20"/>
        </w:rPr>
        <w:t>Сельское хозяйство</w:t>
      </w:r>
      <w:r w:rsidRPr="00D01481">
        <w:rPr>
          <w:color w:val="262626"/>
          <w:sz w:val="20"/>
        </w:rPr>
        <w:t xml:space="preserve">. </w:t>
      </w:r>
      <w:proofErr w:type="gramStart"/>
      <w:r w:rsidRPr="00D01481">
        <w:rPr>
          <w:color w:val="262626"/>
          <w:sz w:val="20"/>
        </w:rPr>
        <w:t>В  ноябре</w:t>
      </w:r>
      <w:proofErr w:type="gramEnd"/>
      <w:r w:rsidRPr="00D01481">
        <w:rPr>
          <w:color w:val="262626"/>
          <w:sz w:val="20"/>
        </w:rPr>
        <w:t xml:space="preserve"> рост производства продукции сельского хозяйства в  России ускорился до  5,8% в  годовом выражении (в октябре: 5,2%). Основной вклад в ускорение роста выпуска внесло растениеводство. По оценке Росстата, валовой сбор зерна в этом году на 6,5% выше уровня прошлого года. Урожай масличных культур, в том числе подсолнечника, в 2019 г. стал рекордным за всю новейшую историю России. Рост валового сбора сахарной свеклы превысил показатель прошлого года на 20,3%, что, </w:t>
      </w:r>
      <w:proofErr w:type="gramStart"/>
      <w:r w:rsidRPr="00D01481">
        <w:rPr>
          <w:color w:val="262626"/>
          <w:sz w:val="20"/>
        </w:rPr>
        <w:t>по  оценкам</w:t>
      </w:r>
      <w:proofErr w:type="gramEnd"/>
      <w:r w:rsidRPr="00D01481">
        <w:rPr>
          <w:color w:val="262626"/>
          <w:sz w:val="20"/>
        </w:rPr>
        <w:t>, позволит нарастить производство сахара в сезоне 2019/2020 до рекордно высокого уровня. Уверенными темпами продолжает расти выпуск продукции животноводства, в значительной мере – за счет свиноводства.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i/>
          <w:color w:val="262626"/>
          <w:sz w:val="20"/>
        </w:rPr>
      </w:pPr>
      <w:r w:rsidRPr="00D01481">
        <w:rPr>
          <w:i/>
          <w:color w:val="262626"/>
          <w:sz w:val="20"/>
        </w:rPr>
        <w:t>Инвестиционная активность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В III квартале 2019 г. годовой темп прироста инвестиций </w:t>
      </w:r>
      <w:proofErr w:type="gramStart"/>
      <w:r w:rsidRPr="00D01481">
        <w:rPr>
          <w:color w:val="262626"/>
          <w:sz w:val="20"/>
        </w:rPr>
        <w:t>в  основной</w:t>
      </w:r>
      <w:proofErr w:type="gramEnd"/>
      <w:r w:rsidRPr="00D01481">
        <w:rPr>
          <w:color w:val="262626"/>
          <w:sz w:val="20"/>
        </w:rPr>
        <w:t xml:space="preserve"> капитал составил 0,8% (в II  квартале: 0,6%, рис.  9). Происходила активизация капитальных расходов федерального бюджета, тогда как динамика инвестиций частного сектора оставалась отрицательной. </w:t>
      </w:r>
      <w:proofErr w:type="gramStart"/>
      <w:r w:rsidRPr="00D01481">
        <w:rPr>
          <w:color w:val="262626"/>
          <w:sz w:val="20"/>
        </w:rPr>
        <w:t>По  мере</w:t>
      </w:r>
      <w:proofErr w:type="gramEnd"/>
      <w:r w:rsidRPr="00D01481">
        <w:rPr>
          <w:color w:val="262626"/>
          <w:sz w:val="20"/>
        </w:rPr>
        <w:t xml:space="preserve"> завершения строительства ряда крупных объектов (первый этап прокладки трубопровода «Сила Сибири», железнодорожный мост в Крым) рост инвестиций в инфраструктуру замедлялся.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Опережающие индикаторы инвестиционной активности </w:t>
      </w:r>
      <w:proofErr w:type="gramStart"/>
      <w:r w:rsidRPr="00D01481">
        <w:rPr>
          <w:color w:val="262626"/>
          <w:sz w:val="20"/>
        </w:rPr>
        <w:t>в  ноябре</w:t>
      </w:r>
      <w:proofErr w:type="gramEnd"/>
      <w:r w:rsidRPr="00D01481">
        <w:rPr>
          <w:color w:val="262626"/>
          <w:sz w:val="20"/>
        </w:rPr>
        <w:t xml:space="preserve"> указывают на  сокращение вложений в основной капитал в годовом выражении. Снизилось производство отечественных товаров инвестиционного назначения, замедлился рост импорта инвестиционных товаров. После увеличения в предыдущие месяцы отмечалось заметное падение железнодорожных перевозок строительных грузов, которое может быть связано с усилением конкуренции </w:t>
      </w:r>
      <w:proofErr w:type="gramStart"/>
      <w:r w:rsidRPr="00D01481">
        <w:rPr>
          <w:color w:val="262626"/>
          <w:sz w:val="20"/>
        </w:rPr>
        <w:t>с  автомобильным</w:t>
      </w:r>
      <w:proofErr w:type="gramEnd"/>
      <w:r w:rsidRPr="00D01481">
        <w:rPr>
          <w:color w:val="262626"/>
          <w:sz w:val="20"/>
        </w:rPr>
        <w:t xml:space="preserve"> транспортом. Кроме того, сказывалось исчерпание эффекта низкой базы прошлого года. Тем не менее с учетом ожидаемого ускорения роста государственных инвестиционных расходов и сохраняющейся в положительной зоне динамики инвестиционного импорта годовой темп прироста инвестиций в основной капитал в IV квартале 2019 г. оценивается в интервале 0,6–1,0%.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jc w:val="center"/>
        <w:rPr>
          <w:color w:val="262626"/>
          <w:sz w:val="20"/>
        </w:rPr>
      </w:pPr>
      <w:r w:rsidRPr="00D01481">
        <w:rPr>
          <w:noProof/>
          <w:color w:val="262626"/>
        </w:rPr>
        <w:lastRenderedPageBreak/>
        <w:drawing>
          <wp:inline distT="0" distB="0" distL="0" distR="0">
            <wp:extent cx="3230880" cy="3040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i/>
          <w:color w:val="262626"/>
          <w:sz w:val="20"/>
        </w:rPr>
      </w:pPr>
      <w:r w:rsidRPr="00D01481">
        <w:rPr>
          <w:i/>
          <w:color w:val="262626"/>
          <w:sz w:val="20"/>
        </w:rPr>
        <w:t>Потребительская активность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noProof/>
          <w:color w:val="2626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64770</wp:posOffset>
            </wp:positionV>
            <wp:extent cx="3262630" cy="3131185"/>
            <wp:effectExtent l="0" t="0" r="0" b="0"/>
            <wp:wrapTight wrapText="bothSides">
              <wp:wrapPolygon edited="0">
                <wp:start x="0" y="0"/>
                <wp:lineTo x="0" y="21420"/>
                <wp:lineTo x="21440" y="21420"/>
                <wp:lineTo x="214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81">
        <w:rPr>
          <w:color w:val="262626"/>
          <w:sz w:val="20"/>
        </w:rPr>
        <w:t xml:space="preserve">В ноябре 2019 г. наблюдалось оживление потребительской активности населения. Годовой темп прироста оборота розничной торговли увеличился </w:t>
      </w:r>
      <w:proofErr w:type="gramStart"/>
      <w:r w:rsidRPr="00D01481">
        <w:rPr>
          <w:color w:val="262626"/>
          <w:sz w:val="20"/>
        </w:rPr>
        <w:t>до  2</w:t>
      </w:r>
      <w:proofErr w:type="gramEnd"/>
      <w:r w:rsidRPr="00D01481">
        <w:rPr>
          <w:color w:val="262626"/>
          <w:sz w:val="20"/>
        </w:rPr>
        <w:t xml:space="preserve">,3% (в октябре: 1,7%, рис. 10), что было обусловлено как замедлением инфляции, так и ростом доходов от трудовой деятельности (см. раздел «Рынок труда и доходы населения»). Кроме того, по оценкам экспертов и </w:t>
      </w:r>
      <w:proofErr w:type="spellStart"/>
      <w:r w:rsidRPr="00D01481">
        <w:rPr>
          <w:color w:val="262626"/>
          <w:sz w:val="20"/>
        </w:rPr>
        <w:t>ретейлеров</w:t>
      </w:r>
      <w:proofErr w:type="spellEnd"/>
      <w:r w:rsidRPr="00D01481">
        <w:rPr>
          <w:color w:val="262626"/>
          <w:sz w:val="20"/>
        </w:rPr>
        <w:t xml:space="preserve">, в этом году распродажи в «черную пятницу» прошли успешнее, чем в 2018 году. Согласно исследованию </w:t>
      </w:r>
      <w:proofErr w:type="spellStart"/>
      <w:r w:rsidRPr="00D01481">
        <w:rPr>
          <w:color w:val="262626"/>
          <w:sz w:val="20"/>
        </w:rPr>
        <w:t>GfK</w:t>
      </w:r>
      <w:proofErr w:type="spellEnd"/>
      <w:r w:rsidRPr="00D01481">
        <w:rPr>
          <w:color w:val="262626"/>
          <w:sz w:val="20"/>
        </w:rPr>
        <w:t xml:space="preserve">, в 2019 г. прирост продаж бытовой техники </w:t>
      </w:r>
      <w:proofErr w:type="gramStart"/>
      <w:r w:rsidRPr="00D01481">
        <w:rPr>
          <w:color w:val="262626"/>
          <w:sz w:val="20"/>
        </w:rPr>
        <w:t>и  электроники</w:t>
      </w:r>
      <w:proofErr w:type="gramEnd"/>
      <w:r w:rsidRPr="00D01481">
        <w:rPr>
          <w:color w:val="262626"/>
          <w:sz w:val="20"/>
        </w:rPr>
        <w:t xml:space="preserve"> в  неделю «черной пятницы» по  отношению к  предыдущей неделе составил 35,3%, что на 5 </w:t>
      </w:r>
      <w:proofErr w:type="spellStart"/>
      <w:r w:rsidRPr="00D01481">
        <w:rPr>
          <w:color w:val="262626"/>
          <w:sz w:val="20"/>
        </w:rPr>
        <w:t>п.п</w:t>
      </w:r>
      <w:proofErr w:type="spellEnd"/>
      <w:r w:rsidRPr="00D01481">
        <w:rPr>
          <w:color w:val="262626"/>
          <w:sz w:val="20"/>
        </w:rPr>
        <w:t xml:space="preserve">. выше значения 2018 года. На это указывают и данные Росстата: ускорение роста оборота розничной торговли </w:t>
      </w:r>
      <w:proofErr w:type="gramStart"/>
      <w:r w:rsidRPr="00D01481">
        <w:rPr>
          <w:color w:val="262626"/>
          <w:sz w:val="20"/>
        </w:rPr>
        <w:t>в  годовом</w:t>
      </w:r>
      <w:proofErr w:type="gramEnd"/>
      <w:r w:rsidRPr="00D01481">
        <w:rPr>
          <w:color w:val="262626"/>
          <w:sz w:val="20"/>
        </w:rPr>
        <w:t xml:space="preserve"> выражении было наиболее заметным среди группы непродовольственных товаров – 3,0% (в октябре: 2,1%).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i/>
          <w:color w:val="262626"/>
          <w:sz w:val="20"/>
        </w:rPr>
      </w:pPr>
      <w:r w:rsidRPr="00D01481">
        <w:rPr>
          <w:i/>
          <w:color w:val="262626"/>
          <w:sz w:val="20"/>
        </w:rPr>
        <w:t>Рынок труда и доходы населения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proofErr w:type="gramStart"/>
      <w:r w:rsidRPr="00D01481">
        <w:rPr>
          <w:color w:val="262626"/>
          <w:sz w:val="20"/>
        </w:rPr>
        <w:t>В  ноябре</w:t>
      </w:r>
      <w:proofErr w:type="gramEnd"/>
      <w:r w:rsidRPr="00D01481">
        <w:rPr>
          <w:color w:val="262626"/>
          <w:sz w:val="20"/>
        </w:rPr>
        <w:t xml:space="preserve"> 2019  г. безработица осталась на  уровне предыдущих месяцев. По данным опроса IHS </w:t>
      </w:r>
      <w:proofErr w:type="spellStart"/>
      <w:r w:rsidRPr="00D01481">
        <w:rPr>
          <w:color w:val="262626"/>
          <w:sz w:val="20"/>
        </w:rPr>
        <w:t>Markit</w:t>
      </w:r>
      <w:proofErr w:type="spellEnd"/>
      <w:r w:rsidRPr="00D01481">
        <w:rPr>
          <w:color w:val="262626"/>
          <w:sz w:val="20"/>
        </w:rPr>
        <w:t xml:space="preserve"> PMI, снижение занятости происходило </w:t>
      </w:r>
      <w:proofErr w:type="gramStart"/>
      <w:r w:rsidRPr="00D01481">
        <w:rPr>
          <w:color w:val="262626"/>
          <w:sz w:val="20"/>
        </w:rPr>
        <w:t>в  обрабатывающей</w:t>
      </w:r>
      <w:proofErr w:type="gramEnd"/>
      <w:r w:rsidRPr="00D01481">
        <w:rPr>
          <w:color w:val="262626"/>
          <w:sz w:val="20"/>
        </w:rPr>
        <w:t xml:space="preserve"> промышленности (</w:t>
      </w:r>
      <w:r w:rsidRPr="00D01481">
        <w:rPr>
          <w:color w:val="262626"/>
          <w:sz w:val="20"/>
          <w:lang w:val="en-US"/>
        </w:rPr>
        <w:t>PMI</w:t>
      </w:r>
      <w:r w:rsidRPr="00D01481">
        <w:rPr>
          <w:color w:val="262626"/>
          <w:sz w:val="20"/>
        </w:rPr>
        <w:t xml:space="preserve"> </w:t>
      </w:r>
      <w:r w:rsidRPr="00D01481">
        <w:rPr>
          <w:color w:val="262626"/>
          <w:sz w:val="20"/>
          <w:lang w:val="en-US"/>
        </w:rPr>
        <w:t>Manufacturing</w:t>
      </w:r>
      <w:r w:rsidRPr="00D01481">
        <w:rPr>
          <w:color w:val="262626"/>
          <w:sz w:val="20"/>
        </w:rPr>
        <w:t xml:space="preserve">: 47,7% </w:t>
      </w:r>
      <w:r w:rsidRPr="00D01481">
        <w:rPr>
          <w:color w:val="262626"/>
          <w:sz w:val="20"/>
          <w:lang w:val="en-US"/>
        </w:rPr>
        <w:t>SA</w:t>
      </w:r>
      <w:r w:rsidRPr="00D01481">
        <w:rPr>
          <w:color w:val="262626"/>
          <w:sz w:val="20"/>
        </w:rPr>
        <w:t>). Вместе с тем в сфере услуг индекс PMI демонстрировал позитивную динамику (52 SA).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 xml:space="preserve">Рост реальной заработной платы </w:t>
      </w:r>
      <w:proofErr w:type="gramStart"/>
      <w:r w:rsidRPr="00D01481">
        <w:rPr>
          <w:color w:val="262626"/>
          <w:sz w:val="20"/>
        </w:rPr>
        <w:t>в  октябре</w:t>
      </w:r>
      <w:proofErr w:type="gramEnd"/>
      <w:r w:rsidRPr="00D01481">
        <w:rPr>
          <w:color w:val="262626"/>
          <w:sz w:val="20"/>
        </w:rPr>
        <w:t xml:space="preserve"> 2019 г. ускорился до 3,8% в годовом выражении (в сентябре: 3,1%, рис. 13), что связано в основном с индексацией оплаты труда госслужащим и военнослужащим на 4,3%, а также со снижением темпа роста цен. По оценкам Банка России, </w:t>
      </w:r>
      <w:proofErr w:type="gramStart"/>
      <w:r w:rsidRPr="00D01481">
        <w:rPr>
          <w:color w:val="262626"/>
          <w:sz w:val="20"/>
        </w:rPr>
        <w:t>на  фоне</w:t>
      </w:r>
      <w:proofErr w:type="gramEnd"/>
      <w:r w:rsidRPr="00D01481">
        <w:rPr>
          <w:color w:val="262626"/>
          <w:sz w:val="20"/>
        </w:rPr>
        <w:t xml:space="preserve"> дальнейшего замедления инфляции в IV квартале прирост реальной заработной платы несколько ускорится и по итогам 2019 г. составит 2,5–3,0%.</w:t>
      </w:r>
    </w:p>
    <w:p w:rsidR="00E34A1E" w:rsidRPr="00D01481" w:rsidRDefault="00E34A1E" w:rsidP="00E34A1E">
      <w:pPr>
        <w:tabs>
          <w:tab w:val="left" w:pos="0"/>
          <w:tab w:val="left" w:pos="9639"/>
        </w:tabs>
        <w:spacing w:before="120" w:line="240" w:lineRule="auto"/>
        <w:ind w:firstLine="0"/>
        <w:rPr>
          <w:color w:val="262626"/>
          <w:sz w:val="20"/>
        </w:rPr>
      </w:pPr>
      <w:r w:rsidRPr="00D01481">
        <w:rPr>
          <w:color w:val="262626"/>
          <w:sz w:val="20"/>
        </w:rPr>
        <w:t>Ускорение роста реальной заработной платы будет поддерживать потребительский спрос в ближайшие месяцы.</w:t>
      </w:r>
    </w:p>
    <w:p w:rsidR="00E34A1E" w:rsidRPr="00D01481" w:rsidRDefault="00E34A1E" w:rsidP="00E34A1E">
      <w:pPr>
        <w:widowControl/>
        <w:tabs>
          <w:tab w:val="left" w:pos="9639"/>
        </w:tabs>
        <w:adjustRightInd/>
        <w:spacing w:after="120" w:line="240" w:lineRule="auto"/>
        <w:ind w:firstLine="0"/>
        <w:jc w:val="right"/>
        <w:textAlignment w:val="auto"/>
        <w:rPr>
          <w:i/>
          <w:color w:val="262626"/>
          <w:sz w:val="20"/>
          <w:szCs w:val="18"/>
          <w:lang w:eastAsia="x-none"/>
        </w:rPr>
      </w:pPr>
      <w:r w:rsidRPr="00D01481">
        <w:rPr>
          <w:i/>
          <w:color w:val="262626"/>
          <w:sz w:val="20"/>
          <w:szCs w:val="18"/>
          <w:lang w:eastAsia="x-none"/>
        </w:rPr>
        <w:t>Источник информации:</w:t>
      </w:r>
    </w:p>
    <w:p w:rsidR="00E34A1E" w:rsidRPr="00D01481" w:rsidRDefault="00E34A1E" w:rsidP="00E34A1E">
      <w:pPr>
        <w:widowControl/>
        <w:tabs>
          <w:tab w:val="left" w:pos="9639"/>
        </w:tabs>
        <w:adjustRightInd/>
        <w:spacing w:after="120" w:line="240" w:lineRule="auto"/>
        <w:ind w:firstLine="0"/>
        <w:jc w:val="right"/>
        <w:textAlignment w:val="auto"/>
        <w:rPr>
          <w:i/>
          <w:color w:val="262626"/>
          <w:sz w:val="20"/>
          <w:szCs w:val="18"/>
          <w:lang w:eastAsia="x-none"/>
        </w:rPr>
      </w:pPr>
      <w:r w:rsidRPr="00D01481">
        <w:rPr>
          <w:i/>
          <w:color w:val="262626"/>
          <w:sz w:val="20"/>
          <w:szCs w:val="18"/>
          <w:lang w:val="x-none" w:eastAsia="x-none"/>
        </w:rPr>
        <w:t>https://cbr.ru/Collection/Collection/File/25696/EC_2019-11.pdf</w:t>
      </w:r>
    </w:p>
    <w:p w:rsidR="00E34A1E" w:rsidRDefault="00E34A1E"/>
    <w:p w:rsidR="00E34A1E" w:rsidRDefault="00E34A1E"/>
    <w:sectPr w:rsidR="00E3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EB3"/>
    <w:multiLevelType w:val="multilevel"/>
    <w:tmpl w:val="6F4AE34A"/>
    <w:styleLink w:val="21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16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lang w:val="x-no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0"/>
    <w:rsid w:val="005339E7"/>
    <w:rsid w:val="00CA7EC2"/>
    <w:rsid w:val="00E34A1E"/>
    <w:rsid w:val="00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1DC6-358F-481A-967E-D390602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1E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.1.1 заголовок"/>
    <w:basedOn w:val="3"/>
    <w:autoRedefine/>
    <w:rsid w:val="00E34A1E"/>
    <w:pPr>
      <w:keepLines w:val="0"/>
      <w:widowControl/>
      <w:numPr>
        <w:ilvl w:val="2"/>
        <w:numId w:val="1"/>
      </w:numPr>
      <w:tabs>
        <w:tab w:val="clear" w:pos="720"/>
        <w:tab w:val="num" w:pos="360"/>
        <w:tab w:val="left" w:pos="1843"/>
      </w:tabs>
      <w:adjustRightInd/>
      <w:spacing w:before="60" w:after="60"/>
      <w:ind w:left="0" w:firstLine="709"/>
      <w:jc w:val="center"/>
      <w:textAlignment w:val="auto"/>
    </w:pPr>
    <w:rPr>
      <w:rFonts w:ascii="Times New Roman" w:eastAsia="Times New Roman" w:hAnsi="Times New Roman" w:cs="Arial"/>
      <w:b/>
      <w:bCs/>
      <w:color w:val="333399"/>
      <w:sz w:val="22"/>
      <w:szCs w:val="22"/>
      <w:lang w:val="x-none" w:eastAsia="x-none"/>
    </w:rPr>
  </w:style>
  <w:style w:type="paragraph" w:customStyle="1" w:styleId="11116">
    <w:name w:val="Стиль Заголовок 1.1. + 11 пт Перед:  6 пт"/>
    <w:basedOn w:val="a"/>
    <w:rsid w:val="00E34A1E"/>
    <w:pPr>
      <w:keepNext/>
      <w:widowControl/>
      <w:numPr>
        <w:ilvl w:val="1"/>
        <w:numId w:val="1"/>
      </w:numPr>
      <w:tabs>
        <w:tab w:val="left" w:pos="1814"/>
      </w:tabs>
      <w:adjustRightInd/>
      <w:spacing w:before="120" w:after="60"/>
      <w:jc w:val="center"/>
      <w:textAlignment w:val="auto"/>
      <w:outlineLvl w:val="1"/>
    </w:pPr>
    <w:rPr>
      <w:b/>
      <w:bCs/>
      <w:caps/>
      <w:color w:val="333399"/>
      <w:sz w:val="22"/>
      <w:lang w:val="x-none" w:eastAsia="x-none"/>
    </w:rPr>
  </w:style>
  <w:style w:type="numbering" w:customStyle="1" w:styleId="211">
    <w:name w:val="Стиль маркированный211"/>
    <w:basedOn w:val="a2"/>
    <w:rsid w:val="00E34A1E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E34A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2020-04-12T07:11:00Z</dcterms:created>
  <dcterms:modified xsi:type="dcterms:W3CDTF">2020-04-12T07:12:00Z</dcterms:modified>
</cp:coreProperties>
</file>